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877BDF" w:rsidRDefault="00877BDF">
      <w:pPr>
        <w:keepNext/>
        <w:pBdr>
          <w:top w:val="nil"/>
          <w:left w:val="nil"/>
          <w:bottom w:val="nil"/>
          <w:right w:val="nil"/>
          <w:between w:val="nil"/>
        </w:pBdr>
        <w:ind w:left="0"/>
        <w:jc w:val="left"/>
        <w:rPr>
          <w:rFonts w:eastAsia="Arial"/>
          <w:b/>
          <w:color w:val="000000"/>
          <w:sz w:val="32"/>
          <w:szCs w:val="32"/>
        </w:rPr>
      </w:pPr>
    </w:p>
    <w:p w14:paraId="00000002" w14:textId="77777777" w:rsidR="00877BDF" w:rsidRDefault="00C84A0E">
      <w:pPr>
        <w:keepNext/>
        <w:pBdr>
          <w:top w:val="nil"/>
          <w:left w:val="nil"/>
          <w:bottom w:val="nil"/>
          <w:right w:val="nil"/>
          <w:between w:val="nil"/>
        </w:pBdr>
        <w:ind w:left="0"/>
        <w:jc w:val="left"/>
        <w:rPr>
          <w:rFonts w:eastAsia="Arial"/>
          <w:b/>
          <w:color w:val="000000"/>
          <w:sz w:val="36"/>
          <w:szCs w:val="36"/>
        </w:rPr>
      </w:pPr>
      <w:sdt>
        <w:sdtPr>
          <w:tag w:val="goog_rdk_0"/>
          <w:id w:val="-1863429681"/>
        </w:sdtPr>
        <w:sdtEndPr/>
        <w:sdtContent/>
      </w:sdt>
      <w:r w:rsidR="00E93EBD">
        <w:rPr>
          <w:rFonts w:eastAsia="Arial"/>
          <w:b/>
          <w:color w:val="000000"/>
          <w:sz w:val="36"/>
          <w:szCs w:val="36"/>
        </w:rPr>
        <w:t>Call-Off Schedule 8 (Business Continuity and Disaster Recovery)</w:t>
      </w:r>
    </w:p>
    <w:p w14:paraId="00000003"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bookmarkStart w:id="1" w:name="_GoBack"/>
      <w:bookmarkEnd w:id="1"/>
    </w:p>
    <w:p w14:paraId="00000004"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877BDF" w14:paraId="2CCA79F9" w14:textId="77777777">
        <w:tc>
          <w:tcPr>
            <w:tcW w:w="3097" w:type="dxa"/>
          </w:tcPr>
          <w:p w14:paraId="00000005"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14:paraId="00000006"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877BDF" w14:paraId="6EB61674" w14:textId="77777777">
        <w:tc>
          <w:tcPr>
            <w:tcW w:w="3097" w:type="dxa"/>
          </w:tcPr>
          <w:p w14:paraId="00000007"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14:paraId="00000008"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877BDF" w14:paraId="5A88478A" w14:textId="77777777">
        <w:tc>
          <w:tcPr>
            <w:tcW w:w="3097" w:type="dxa"/>
          </w:tcPr>
          <w:p w14:paraId="00000009"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14:paraId="0000000A" w14:textId="77777777" w:rsidR="00877BDF" w:rsidRDefault="00E93EBD">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877BDF" w14:paraId="392D6C73" w14:textId="77777777">
        <w:tc>
          <w:tcPr>
            <w:tcW w:w="3097" w:type="dxa"/>
          </w:tcPr>
          <w:p w14:paraId="0000000B"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14:paraId="0000000C"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877BDF" w14:paraId="1EA64029" w14:textId="77777777">
        <w:tc>
          <w:tcPr>
            <w:tcW w:w="3097" w:type="dxa"/>
          </w:tcPr>
          <w:p w14:paraId="0000000D"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14:paraId="0000000E"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877BDF" w14:paraId="6AF82A33" w14:textId="77777777">
        <w:trPr>
          <w:trHeight w:val="567"/>
        </w:trPr>
        <w:tc>
          <w:tcPr>
            <w:tcW w:w="3097" w:type="dxa"/>
          </w:tcPr>
          <w:p w14:paraId="0000000F"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14:paraId="00000010"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877BDF" w14:paraId="4D77E767" w14:textId="77777777">
        <w:trPr>
          <w:trHeight w:val="567"/>
        </w:trPr>
        <w:tc>
          <w:tcPr>
            <w:tcW w:w="3097" w:type="dxa"/>
          </w:tcPr>
          <w:p w14:paraId="00000011"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14:paraId="00000012"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877BDF" w14:paraId="0BF54472" w14:textId="77777777">
        <w:tc>
          <w:tcPr>
            <w:tcW w:w="3097" w:type="dxa"/>
          </w:tcPr>
          <w:p w14:paraId="00000013"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14:paraId="00000014"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14:paraId="00000015"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14:paraId="00000016"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g8f18thw8yu0" w:colFirst="0" w:colLast="0"/>
      <w:bookmarkEnd w:id="2"/>
      <w:r>
        <w:rPr>
          <w:rFonts w:eastAsia="Arial"/>
          <w:color w:val="000000"/>
          <w:sz w:val="24"/>
          <w:szCs w:val="24"/>
        </w:rPr>
        <w:t>The Buyer and the Supplier recognise that, where specified in Schedule 4 (Framework Management), CCS shall have the right to enforce the Buyer's rights under this Schedule.</w:t>
      </w:r>
    </w:p>
    <w:p w14:paraId="00000017" w14:textId="77777777" w:rsidR="00877BDF" w:rsidRDefault="00E93EBD">
      <w:pPr>
        <w:numPr>
          <w:ilvl w:val="1"/>
          <w:numId w:val="1"/>
        </w:numPr>
        <w:pBdr>
          <w:top w:val="nil"/>
          <w:left w:val="nil"/>
          <w:bottom w:val="nil"/>
          <w:right w:val="nil"/>
          <w:between w:val="nil"/>
        </w:pBdr>
        <w:spacing w:before="120" w:after="120"/>
        <w:jc w:val="left"/>
        <w:rPr>
          <w:sz w:val="24"/>
          <w:szCs w:val="24"/>
        </w:rPr>
      </w:pPr>
      <w:bookmarkStart w:id="3" w:name="_heading=h.dklgwq9y5c6" w:colFirst="0" w:colLast="0"/>
      <w:bookmarkEnd w:id="3"/>
      <w:r>
        <w:rPr>
          <w:sz w:val="24"/>
          <w:szCs w:val="24"/>
        </w:rPr>
        <w:t>The Buyer recognises that in most cases the Supplier will have in place a BCDR Plan for their services which will meet industry standards and satisfy the Buyer’s requirements. Where this is the case this should be provided to the Customer at the earliest opportunity. It is acknowledged that as these form part of a standard service it may not be possible for a Customer to request adjustments to the plan.</w:t>
      </w:r>
    </w:p>
    <w:p w14:paraId="00000018" w14:textId="77777777" w:rsidR="00877BDF" w:rsidRDefault="00877BDF">
      <w:pPr>
        <w:pBdr>
          <w:top w:val="nil"/>
          <w:left w:val="nil"/>
          <w:bottom w:val="nil"/>
          <w:right w:val="nil"/>
          <w:between w:val="nil"/>
        </w:pBdr>
        <w:spacing w:before="120" w:after="120"/>
        <w:ind w:left="720"/>
        <w:jc w:val="left"/>
        <w:rPr>
          <w:sz w:val="24"/>
          <w:szCs w:val="24"/>
        </w:rPr>
      </w:pPr>
      <w:bookmarkStart w:id="4" w:name="_heading=h.ga3o2btp94z1" w:colFirst="0" w:colLast="0"/>
      <w:bookmarkEnd w:id="4"/>
    </w:p>
    <w:p w14:paraId="00000019"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5" w:name="_heading=h.1fob9te" w:colFirst="0" w:colLast="0"/>
      <w:bookmarkEnd w:id="5"/>
      <w:r>
        <w:rPr>
          <w:rFonts w:eastAsia="Arial"/>
          <w:color w:val="000000"/>
          <w:sz w:val="24"/>
          <w:szCs w:val="24"/>
        </w:rPr>
        <w:t xml:space="preserve">At least ninety (90) Working Days prior to the Start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14:paraId="0000001A"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0000001B"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14:paraId="0000001C"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0000001D"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3znysh7" w:colFirst="0" w:colLast="0"/>
      <w:bookmarkEnd w:id="6"/>
      <w:r>
        <w:rPr>
          <w:rFonts w:eastAsia="Arial"/>
          <w:color w:val="000000"/>
          <w:sz w:val="24"/>
          <w:szCs w:val="24"/>
        </w:rPr>
        <w:t xml:space="preserve">Section 1 which shall set out general principles applicable to the BCDR Plan; </w:t>
      </w:r>
    </w:p>
    <w:p w14:paraId="0000001E"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2et92p0" w:colFirst="0" w:colLast="0"/>
      <w:bookmarkEnd w:id="7"/>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0000001F"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8" w:name="_heading=h.tyjcwt" w:colFirst="0" w:colLast="0"/>
      <w:bookmarkEnd w:id="8"/>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00000020"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3dy6vkm" w:colFirst="0" w:colLast="0"/>
      <w:bookmarkEnd w:id="9"/>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t>General Principles of the BCDR Plan (Section 1)</w:t>
      </w:r>
    </w:p>
    <w:p w14:paraId="00000022"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00000023"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00000024"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00000026"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877BDF" w:rsidRDefault="00E93EBD">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contain a risk analysis, including:</w:t>
      </w:r>
    </w:p>
    <w:p w14:paraId="00000029" w14:textId="77777777" w:rsidR="00877BDF" w:rsidRDefault="00E93EB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14:paraId="0000002A" w14:textId="77777777" w:rsidR="00877BDF" w:rsidRDefault="00E93EB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0000002B" w14:textId="77777777" w:rsidR="00877BDF" w:rsidRDefault="00E93EB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0000002C" w14:textId="77777777" w:rsidR="00877BDF" w:rsidRDefault="00E93EB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14:paraId="0000002D"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0000002E"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0000002F"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00000030"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00000031"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00000032"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14:paraId="00000033"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00000034"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00000035"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14:paraId="00000036"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00000037"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00000038"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lastRenderedPageBreak/>
        <w:t>Business Continuity (Section 2)</w:t>
      </w:r>
    </w:p>
    <w:p w14:paraId="0000003B"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4d34og8" w:colFirst="0" w:colLast="0"/>
      <w:bookmarkEnd w:id="11"/>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0000003D"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0000003E"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000003F"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00000040"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s8eyo1" w:colFirst="0" w:colLast="0"/>
      <w:bookmarkEnd w:id="12"/>
      <w:r>
        <w:rPr>
          <w:rFonts w:eastAsia="Arial"/>
          <w:color w:val="000000"/>
          <w:sz w:val="24"/>
          <w:szCs w:val="24"/>
        </w:rPr>
        <w:t>set out the goods and/or services to be provided and the steps to be taken to remedy the different levels of failures of and disruption to the Deliverables;</w:t>
      </w:r>
    </w:p>
    <w:p w14:paraId="00000041"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00000043"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14:paraId="00000044"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13" w:name="_heading=h.17dp8vu" w:colFirst="0" w:colLast="0"/>
      <w:bookmarkEnd w:id="13"/>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0000046"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00000047"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00000048"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00000049"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0000004A"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0000004B"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0000004C"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0000004D"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 xml:space="preserve">BCDR Plan testing; </w:t>
      </w:r>
    </w:p>
    <w:p w14:paraId="0000004E"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14:paraId="0000004F"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0000052"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00000053"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rdcrjn" w:colFirst="0" w:colLast="0"/>
      <w:bookmarkEnd w:id="14"/>
      <w:r>
        <w:rPr>
          <w:rFonts w:eastAsia="Arial"/>
          <w:color w:val="000000"/>
          <w:sz w:val="24"/>
          <w:szCs w:val="24"/>
        </w:rPr>
        <w:t>The Supplier shall review the BCDR Plan:</w:t>
      </w:r>
    </w:p>
    <w:p w14:paraId="00000055"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26in1rg" w:colFirst="0" w:colLast="0"/>
      <w:bookmarkEnd w:id="15"/>
      <w:r>
        <w:rPr>
          <w:rFonts w:eastAsia="Arial"/>
          <w:color w:val="000000"/>
          <w:sz w:val="24"/>
          <w:szCs w:val="24"/>
        </w:rPr>
        <w:t>on a regular basis and as a minimum once every six (6) Months;</w:t>
      </w:r>
    </w:p>
    <w:p w14:paraId="00000056"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lnxbz9" w:colFirst="0" w:colLast="0"/>
      <w:bookmarkEnd w:id="16"/>
      <w:r>
        <w:rPr>
          <w:rFonts w:eastAsia="Arial"/>
          <w:color w:val="000000"/>
          <w:sz w:val="24"/>
          <w:szCs w:val="24"/>
        </w:rPr>
        <w:t>within three (3) calendar Months of the BCDR Plan (or any part) having been invoked pursuant to Paragraph 7; and</w:t>
      </w:r>
    </w:p>
    <w:p w14:paraId="00000057"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7" w:name="_heading=h.35nkun2" w:colFirst="0" w:colLast="0"/>
      <w:bookmarkEnd w:id="17"/>
      <w:r>
        <w:rPr>
          <w:rFonts w:eastAsia="Arial"/>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1ksv4uv" w:colFirst="0" w:colLast="0"/>
      <w:bookmarkEnd w:id="18"/>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19" w:name="_heading=h.44sinio" w:colFirst="0" w:colLast="0"/>
      <w:bookmarkEnd w:id="19"/>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14:paraId="0000005A"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2jxsxqh" w:colFirst="0" w:colLast="0"/>
      <w:bookmarkEnd w:id="20"/>
      <w:r>
        <w:rPr>
          <w:rFonts w:eastAsia="Arial"/>
          <w:color w:val="000000"/>
          <w:sz w:val="24"/>
          <w:szCs w:val="24"/>
        </w:rPr>
        <w:lastRenderedPageBreak/>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877BDF" w:rsidRDefault="00E93EBD">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1" w:name="_heading=h.z337ya" w:colFirst="0" w:colLast="0"/>
      <w:bookmarkEnd w:id="21"/>
      <w:r>
        <w:rPr>
          <w:rFonts w:ascii="Arial Bold" w:eastAsia="Arial Bold" w:hAnsi="Arial Bold" w:cs="Arial Bold"/>
          <w:b/>
          <w:color w:val="000000"/>
          <w:sz w:val="24"/>
          <w:szCs w:val="24"/>
        </w:rPr>
        <w:t>Testing the BCDR Plan</w:t>
      </w:r>
    </w:p>
    <w:p w14:paraId="0000005D"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3j2qqm3" w:colFirst="0" w:colLast="0"/>
      <w:bookmarkEnd w:id="22"/>
      <w:r>
        <w:rPr>
          <w:rFonts w:eastAsia="Arial"/>
          <w:color w:val="000000"/>
          <w:sz w:val="24"/>
          <w:szCs w:val="24"/>
        </w:rPr>
        <w:t xml:space="preserve">The Supplier shall test the BCDR Plan: </w:t>
      </w:r>
    </w:p>
    <w:p w14:paraId="0000005E"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0000005F"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00000060"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00000061"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23" w:name="_heading=h.1y810tw" w:colFirst="0" w:colLast="0"/>
      <w:bookmarkEnd w:id="23"/>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00000065"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00000066"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00000067"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00000068"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4i7ojhp" w:colFirst="0" w:colLast="0"/>
      <w:bookmarkEnd w:id="24"/>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877BDF" w:rsidRDefault="00E93EB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5" w:name="_heading=h.2xcytpi" w:colFirst="0" w:colLast="0"/>
      <w:bookmarkEnd w:id="25"/>
      <w:r>
        <w:rPr>
          <w:rFonts w:ascii="Arial Bold" w:eastAsia="Arial Bold" w:hAnsi="Arial Bold" w:cs="Arial Bold"/>
          <w:b/>
          <w:color w:val="000000"/>
          <w:sz w:val="24"/>
          <w:szCs w:val="24"/>
        </w:rPr>
        <w:lastRenderedPageBreak/>
        <w:t>Invoking the BCDR Plan</w:t>
      </w:r>
    </w:p>
    <w:p w14:paraId="0000006A"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0000006B" w14:textId="77777777" w:rsidR="00877BDF" w:rsidRDefault="00E93EBD">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14:paraId="0000006C"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877BD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D2852" w14:textId="77777777" w:rsidR="00C84A0E" w:rsidRDefault="00C84A0E">
      <w:pPr>
        <w:spacing w:after="0"/>
      </w:pPr>
      <w:r>
        <w:separator/>
      </w:r>
    </w:p>
  </w:endnote>
  <w:endnote w:type="continuationSeparator" w:id="0">
    <w:p w14:paraId="6E5802A5" w14:textId="77777777" w:rsidR="00C84A0E" w:rsidRDefault="00C84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1" w14:textId="77777777" w:rsidR="00877BDF" w:rsidRDefault="00877BDF">
    <w:pPr>
      <w:tabs>
        <w:tab w:val="center" w:pos="4513"/>
        <w:tab w:val="right" w:pos="9026"/>
      </w:tabs>
      <w:spacing w:after="0"/>
      <w:ind w:left="0"/>
      <w:rPr>
        <w:rFonts w:ascii="Calibri" w:eastAsia="Calibri" w:hAnsi="Calibri" w:cs="Calibri"/>
        <w:color w:val="A6A6A6"/>
      </w:rPr>
    </w:pPr>
  </w:p>
  <w:p w14:paraId="00000072" w14:textId="77777777" w:rsidR="00877BDF" w:rsidRDefault="00E93EB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RM619</w:t>
    </w:r>
    <w:r>
      <w:rPr>
        <w:sz w:val="20"/>
        <w:szCs w:val="20"/>
      </w:rPr>
      <w:t>3</w:t>
    </w:r>
  </w:p>
  <w:p w14:paraId="00000073" w14:textId="77777777" w:rsidR="00877BDF" w:rsidRDefault="00E93EB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DD0975">
      <w:rPr>
        <w:rFonts w:eastAsia="Arial"/>
        <w:noProof/>
        <w:color w:val="000000"/>
        <w:sz w:val="20"/>
        <w:szCs w:val="20"/>
      </w:rPr>
      <w:t>7</w:t>
    </w:r>
    <w:r>
      <w:rPr>
        <w:rFonts w:eastAsia="Arial"/>
        <w:color w:val="000000"/>
        <w:sz w:val="20"/>
        <w:szCs w:val="20"/>
      </w:rPr>
      <w:fldChar w:fldCharType="end"/>
    </w:r>
  </w:p>
  <w:p w14:paraId="00000074" w14:textId="77777777" w:rsidR="00877BDF" w:rsidRDefault="00E93EBD">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5" w14:textId="77777777" w:rsidR="00877BDF" w:rsidRDefault="00E93EB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00000076" w14:textId="77777777" w:rsidR="00877BDF" w:rsidRDefault="00E93EB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00000077" w14:textId="77777777" w:rsidR="00877BDF" w:rsidRDefault="00E93EB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2C1A6" w14:textId="77777777" w:rsidR="00C84A0E" w:rsidRDefault="00C84A0E">
      <w:pPr>
        <w:spacing w:after="0"/>
      </w:pPr>
      <w:r>
        <w:separator/>
      </w:r>
    </w:p>
  </w:footnote>
  <w:footnote w:type="continuationSeparator" w:id="0">
    <w:p w14:paraId="36E4C1AF" w14:textId="77777777" w:rsidR="00C84A0E" w:rsidRDefault="00C84A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6D" w14:textId="77777777" w:rsidR="00877BDF" w:rsidRDefault="00E93EBD">
    <w:pPr>
      <w:tabs>
        <w:tab w:val="center" w:pos="4513"/>
        <w:tab w:val="right" w:pos="9026"/>
      </w:tabs>
      <w:spacing w:after="0"/>
      <w:ind w:left="0"/>
      <w:jc w:val="left"/>
      <w:rPr>
        <w:sz w:val="20"/>
        <w:szCs w:val="20"/>
      </w:rPr>
    </w:pPr>
    <w:r>
      <w:rPr>
        <w:b/>
        <w:sz w:val="20"/>
        <w:szCs w:val="20"/>
      </w:rPr>
      <w:t>Call-Off Schedule 8 (Business Continuity and Disaster Recovery)</w:t>
    </w:r>
  </w:p>
  <w:p w14:paraId="0000006E" w14:textId="77777777" w:rsidR="00877BDF" w:rsidRDefault="00E93EBD">
    <w:pPr>
      <w:tabs>
        <w:tab w:val="center" w:pos="4513"/>
        <w:tab w:val="right" w:pos="9026"/>
      </w:tabs>
      <w:spacing w:after="0"/>
      <w:ind w:left="0"/>
      <w:jc w:val="left"/>
      <w:rPr>
        <w:sz w:val="20"/>
        <w:szCs w:val="20"/>
      </w:rPr>
    </w:pPr>
    <w:r>
      <w:rPr>
        <w:sz w:val="20"/>
        <w:szCs w:val="20"/>
      </w:rPr>
      <w:t>Call-Off Ref:</w:t>
    </w:r>
  </w:p>
  <w:p w14:paraId="0000006F" w14:textId="77777777" w:rsidR="00877BDF" w:rsidRDefault="00E93EBD">
    <w:pPr>
      <w:tabs>
        <w:tab w:val="center" w:pos="4513"/>
        <w:tab w:val="right" w:pos="9026"/>
      </w:tabs>
      <w:spacing w:after="0"/>
      <w:ind w:left="0"/>
      <w:jc w:val="left"/>
      <w:rPr>
        <w:sz w:val="20"/>
        <w:szCs w:val="20"/>
      </w:rPr>
    </w:pPr>
    <w:r>
      <w:rPr>
        <w:sz w:val="20"/>
        <w:szCs w:val="20"/>
      </w:rPr>
      <w:t>Crown Copyright 2020</w:t>
    </w:r>
  </w:p>
  <w:p w14:paraId="00000070" w14:textId="77777777" w:rsidR="00877BDF" w:rsidRDefault="00877BDF">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353DD7"/>
    <w:multiLevelType w:val="multilevel"/>
    <w:tmpl w:val="4F840B40"/>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7F122EFE"/>
    <w:multiLevelType w:val="multilevel"/>
    <w:tmpl w:val="E242B0E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BDF"/>
    <w:rsid w:val="00345A3C"/>
    <w:rsid w:val="00877BDF"/>
    <w:rsid w:val="00C84A0E"/>
    <w:rsid w:val="00DD0975"/>
    <w:rsid w:val="00E93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96C477-BF0A-41E2-A545-A0A6A04A5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KalNf21byypeOsWvSSC0ZedscA==">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2058</Words>
  <Characters>11735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2021-03-26T14:39:00Z</dcterms:created>
  <dcterms:modified xsi:type="dcterms:W3CDTF">2021-03-26T14:39:00Z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